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LT</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II PRIEDAS</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„II PRIEDAS</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Neveiksnių pozicijų nuostolių padengimas (NPE LC)</w:t>
      </w:r>
    </w:p>
    <w:p w14:paraId="0B42A092" w14:textId="496B0A23"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sidR="004D5F96" w:rsidRPr="004D5F96">
        <w:rPr>
          <w:rFonts w:ascii="Times New Roman" w:hAnsi="Times New Roman" w:cs="Times New Roman"/>
          <w:sz w:val="24"/>
          <w:u w:val="none"/>
          <w:lang w:val="en-GB"/>
        </w:rPr>
        <w:t xml:space="preserve"> </w:t>
      </w:r>
      <w:r w:rsidR="004D5F96" w:rsidRPr="002A677E">
        <w:rPr>
          <w:rFonts w:ascii="Times New Roman" w:hAnsi="Times New Roman" w:cs="Times New Roman"/>
          <w:sz w:val="24"/>
          <w:u w:val="none"/>
          <w:lang w:val="en-GB"/>
        </w:rPr>
        <w:tab/>
      </w:r>
      <w:r>
        <w:rPr>
          <w:rFonts w:ascii="Times New Roman" w:hAnsi="Times New Roman"/>
          <w:sz w:val="24"/>
          <w:u w:val="none"/>
        </w:rPr>
        <w:t>Bendrosios pastabos</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202</w:t>
      </w:r>
      <w:r>
        <w:fldChar w:fldCharType="end"/>
      </w:r>
      <w:r>
        <w:t>. Neveiksnių pozicijų nuostolių padengimo formose pateikiama informacija apie neveiksnias pozicijas, kad būtų galima apskaičiuoti minimalų neveiksnių pozicijų nuostolių padengimo reikalavimą, kaip nurodyta Reglamento (ES) Nr. 575/2013 47a, 47b ir 47c straipsniuose.</w:t>
      </w:r>
    </w:p>
    <w:p w14:paraId="00E13494" w14:textId="7777777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203</w:t>
      </w:r>
      <w:r>
        <w:fldChar w:fldCharType="end"/>
      </w:r>
      <w:r>
        <w:t>. Formų grupę sudaro trijų formų rinkinys: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Neveiksnių pozicijų atskaitymų apskaičiavimas (C 35.01): tai apžvalgos forma, kurioje nurodoma taikytina nepakankamo padengimo suma, apskaičiuota kaip bendrų minimalaus neveiksnių pozicijų padengimo reikalavimų ir visų jau atliktų atidėjinių ir koregavimų arba atskaitymų skirtumas. Forma apima ir neveiksnias pozicijas, kai restruktūrizavimo priemonė nebuvo suteikta, ir neveiksnias restruktūrizuotas pozicijas.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Neveiksnių pozicijų, išskyrus restruktūrizuotas pozicijas, kurioms taikoma Reglamento (ES) Nr. 575/2013 47c straipsnio 6 dalis, minimalaus padengimo reikalavimai ir pozicijų vertės (C 35.02): formoje apskaičiuojami bendri minimalaus padengimo reikalavimai neveiksnioms pozicijoms, kurios nėra neveiksnios restruktūrizuotos pozicijos, kurioms taikoma Reglamento (ES) Nr. 575/2013 47c straipsnio 6 dalis, ir nurodomi koeficientai, taikytini pozicijų vertėms atliekant šį skaičiavimą, atsižvelgiant į tai, ar pozicija yra užtikrinta, ar neužtikrinta, ir į laiką nuo to tada, kai pozicija tapo neveiksni.</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Neveiksnių restruktūrizuotų pozicijų, kurioms taikoma Reglamento (ES) Nr. 575/2013 47c straipsnio 6 dalis, minimalaus padengimo reikalavimai ir pozicijų vertės (C 35.03): formoje apskaičiuojami bendri minimalaus padengimo reikalavimai neveiksnioms restruktūrizuotoms pozicijoms, kurioms taikoma Reglamento (ES) Nr. 575/2013 47c straipsnio 6 dalis, ir nurodomi koeficientai, taikytini pozicijų vertėms atliekant šį skaičiavimą, atsižvelgiant į tai, ar pozicija yra užtikrinta, ar neužtikrinta, ir į laiką nuo to tada, kai pozicija tapo neveiksni. </w:t>
      </w:r>
    </w:p>
    <w:p w14:paraId="00581AE0" w14:textId="6EF53D3E"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204</w:t>
      </w:r>
      <w:r>
        <w:fldChar w:fldCharType="end"/>
      </w:r>
      <w:r>
        <w:t xml:space="preserve">. Neveiksnioms pozicijoms skirtas minimalaus nuostolių padengimo reikalavimas taikomas: i) pozicijoms, atsiradusioms 2019 m. balandžio 26 d. ir </w:t>
      </w:r>
      <w:r>
        <w:lastRenderedPageBreak/>
        <w:t>vėliau, kurios tampa neveiksniomis, ir ii) pozicijoms, kurios atsirado iki 2019 m. balandžio 26 d. ir po tos datos pakeičiamos taip, kad padidėja jų pozicijos vertė įsipareigojančiojo asmens atžvilgiu (Reglamento (ES) Nr. 575/2013 469a straipsnis), ir kurios tampa neveiksniomis. Pagal Reglamento (ES) Nr. 575/2013 47c straipsnio 4a dalį minimalaus nuostolių padengimo reikalavimas netaikomas neveiksnios pozicijos daliai, kurią garantuoja arba apdraudžia oficiali eksporto kreditų agentūra.</w:t>
      </w:r>
    </w:p>
    <w:p w14:paraId="4F0BBD38" w14:textId="513B716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205</w:t>
      </w:r>
      <w:r>
        <w:fldChar w:fldCharType="end"/>
      </w:r>
      <w:r>
        <w:t>. Įstaigos apskaičiuoja neveiksnių pozicijų atskaitymus pagal Reglamento (ES) Nr. 575/2013 47c straipsnio 1 dalies a ir b punktus, be kita ko, apskaičiuoja minimalaus padengimo reikalavimus ir visus atidėjinius ir koregavimus arba atskaitymus atskirų pozicijų lygmeniu (sandorio pagrindu), o ne skolininko ar portfelio lygmenimis.</w:t>
      </w:r>
    </w:p>
    <w:p w14:paraId="1066EFE1"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206</w:t>
      </w:r>
      <w:r>
        <w:fldChar w:fldCharType="end"/>
      </w:r>
      <w:r>
        <w:t>. Apskaičiuodamos neveiksnių pozicijų atskaitymus, įstaigos pagal Reglamento (ES) Nr. 575/2013 47c straipsnio 1 dalį išskiria neužtikrintą ir užtikrintą neveiksnios pozicijos dalį. Šiuo tikslu įstaigos atskirai nurodo pozicijų vertes ir minimalaus padengimo reikalavimus neužtikrintai neveiksnių pozicijų daliai ir užtikrintai neveiksnių pozicijų daliai.</w:t>
      </w:r>
    </w:p>
    <w:bookmarkStart w:id="2" w:name="_Toc522019774"/>
    <w:p w14:paraId="782A124B" w14:textId="2131E94E" w:rsidR="00C6168C" w:rsidRDefault="00E7212E" w:rsidP="002567E9">
      <w:pPr>
        <w:pStyle w:val="InstructionsText2"/>
        <w:numPr>
          <w:ilvl w:val="0"/>
          <w:numId w:val="0"/>
        </w:numPr>
        <w:ind w:left="993"/>
        <w:rPr>
          <w:noProof/>
        </w:rPr>
      </w:pPr>
      <w:r>
        <w:fldChar w:fldCharType="begin"/>
      </w:r>
      <w:r>
        <w:instrText xml:space="preserve"> seq paragraphs </w:instrText>
      </w:r>
      <w:r>
        <w:fldChar w:fldCharType="separate"/>
      </w:r>
      <w:r>
        <w:t>207</w:t>
      </w:r>
      <w:r>
        <w:fldChar w:fldCharType="end"/>
      </w:r>
      <w:r>
        <w:t>. Susiedamos atitinkamus taikytinus koeficientus ir apskaičiuodamos minimalaus padengimo reikalavimus, įstaigos pagal Reglamento (ES) Nr. 575/2013 47c straipsnio 3 dalį klasifikuoja neveiksnių pozicijų užtikrintą dalį pagal kredito užtikrinimo rūšį taip: i) „užtikrinta nekilnojamuoju turtu arba būsto paskola, kuriai garantiją teikia reikalavimus atitinkantis užtikrinimo teikėjas, kaip nurodyta 201 straipsnyje“, ii) „užtikrinta kitu tiesioginiu ar netiesioginiu kredito užtikrinimu“ arba iii) „garantiją arba priešpriešinę garantiją teikia reikalavimus atitinkantis užtikrinimo teikėjas“. Kai neveiksni pozicija yra užtikrinta daugiau nei vienos rūšies kredito užtikrinimu, jos pozicijos vertė paskirstoma pagal kredito užtikrinimo kokybę, pradedant nuo aukščiausios kokybės kredito užtikrinimo.</w:t>
      </w:r>
    </w:p>
    <w:p w14:paraId="2778C954" w14:textId="2DFF5B72" w:rsidR="00C6168C" w:rsidRPr="00C6168C" w:rsidRDefault="00C6168C" w:rsidP="00C6168C">
      <w:pPr>
        <w:pStyle w:val="InstructionsText2"/>
        <w:numPr>
          <w:ilvl w:val="0"/>
          <w:numId w:val="0"/>
        </w:numPr>
        <w:ind w:left="993"/>
        <w:rPr>
          <w:noProof/>
        </w:rPr>
      </w:pPr>
      <w:r>
        <w:t xml:space="preserve">207a. Pagal Reglamento (ES) Nr. 575/2013 36 straipsnio 5 dalį specializuotos skolos restruktūrizavimo įstaigos visas atitinkamas pozicijas, įskaitant neveiksnias pozicijas, kurias įsigijo šios įstaigos, nurodo C35.01–C35.03 formose, o C35.01 formos 0010 eilutėje nurodo, kad taikytina nepakankamo įsigytos dalies padengimo suma yra lygi nuliui.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8.2. C 35.01.</w:t>
      </w:r>
      <w:bookmarkEnd w:id="2"/>
      <w:r>
        <w:rPr>
          <w:rFonts w:ascii="Times New Roman" w:hAnsi="Times New Roman"/>
          <w:sz w:val="24"/>
          <w:u w:val="none"/>
        </w:rPr>
        <w:t xml:space="preserve"> NEVEIKSNIŲ POZICIJŲ ATSKAITYMŲ APSKAIČIAVIMAS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Nurodymai dėl konkrečių pozicijų</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Nuo pozicijų priskyrimo neveiksnių pozicijų klasei praėjęs laikas</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Nuo pozicijų priskyrimo neveiksnių pozicijų klasei praėjęs laikas – laikas metais, skaičiuojant nuo ataskaitinės datos, praėjęs nuo pozicijos priskyrimo neveiksnių pozicijų klasei. Įsigytų neveiksnių pozicijų atveju laikas metais pradedamas skaičiuoti nuo tos </w:t>
            </w:r>
            <w:r>
              <w:rPr>
                <w:rFonts w:ascii="Times New Roman" w:hAnsi="Times New Roman"/>
                <w:sz w:val="24"/>
              </w:rPr>
              <w:lastRenderedPageBreak/>
              <w:t xml:space="preserve">dienos, kurią pozicijos iš pradžių buvo klasifikuojamos kaip neveiksnios, o ne nuo jų įsigijimo dienos. </w:t>
            </w:r>
          </w:p>
          <w:p w14:paraId="4D6DCF87" w14:textId="77777777" w:rsidR="00E7212E" w:rsidRPr="002A677E" w:rsidRDefault="00E7212E" w:rsidP="00BF7D57">
            <w:pPr>
              <w:rPr>
                <w:rFonts w:ascii="Times New Roman" w:hAnsi="Times New Roman"/>
                <w:sz w:val="24"/>
              </w:rPr>
            </w:pPr>
            <w:r>
              <w:rPr>
                <w:rFonts w:ascii="Times New Roman" w:hAnsi="Times New Roman"/>
                <w:sz w:val="24"/>
              </w:rPr>
              <w:t>Įstaigos pateikia duomenis apie pozicijas, kurių ataskaitinė data patenka į atitinkamą laiko intervalą, nurodydamos laikotarpį metais po to, kai pozicijos priskiriamos neveiksnioms pozicijoms, neatsižvelgiant į restruktūrizavimo priemonių taikymą.</w:t>
            </w:r>
          </w:p>
          <w:p w14:paraId="08BF43EA" w14:textId="77777777" w:rsidR="00E7212E" w:rsidRPr="002A677E" w:rsidRDefault="00E7212E" w:rsidP="00BF7D57">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Bendra suma</w:t>
            </w:r>
          </w:p>
          <w:p w14:paraId="785D55A5" w14:textId="77777777" w:rsidR="00E7212E" w:rsidRPr="002A677E" w:rsidRDefault="00E7212E" w:rsidP="00BF7D57">
            <w:pPr>
              <w:rPr>
                <w:rFonts w:ascii="Times New Roman" w:hAnsi="Times New Roman"/>
                <w:sz w:val="24"/>
              </w:rPr>
            </w:pPr>
            <w:r>
              <w:rPr>
                <w:rFonts w:ascii="Times New Roman" w:hAnsi="Times New Roman"/>
                <w:sz w:val="24"/>
              </w:rPr>
              <w:t>Įstaigos nurodo visų 0010–0100 skilčių sumą.</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Taikytina nepakankamo padengimo suma</w:t>
            </w:r>
          </w:p>
          <w:p w14:paraId="07CA6C51"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dalis.</w:t>
            </w:r>
          </w:p>
          <w:p w14:paraId="7BAA1E96" w14:textId="77777777" w:rsidR="00E7212E" w:rsidRPr="002A677E" w:rsidRDefault="00E7212E" w:rsidP="00BF7D57">
            <w:pPr>
              <w:rPr>
                <w:rFonts w:ascii="Times New Roman" w:hAnsi="Times New Roman"/>
                <w:sz w:val="24"/>
              </w:rPr>
            </w:pPr>
            <w:r>
              <w:rPr>
                <w:rFonts w:ascii="Times New Roman" w:hAnsi="Times New Roman"/>
                <w:sz w:val="24"/>
              </w:rPr>
              <w:t>Apskaičiuodamos taikytiną nepakankamo padengimo sumą, įstaigos atima visus atidėjinius ir koregavimus arba atskaitymus (apribotus) (0080 eilutė) iš neveiksnių pozicijų bendro minimalaus padengimo reikalavimo (0020 eilutė).</w:t>
            </w:r>
          </w:p>
          <w:p w14:paraId="4864656A" w14:textId="5DE2BE38" w:rsidR="006124F8" w:rsidRPr="002A677E" w:rsidRDefault="00E7212E" w:rsidP="00BF7D57">
            <w:pPr>
              <w:rPr>
                <w:rFonts w:ascii="Times New Roman" w:hAnsi="Times New Roman"/>
                <w:sz w:val="24"/>
              </w:rPr>
            </w:pPr>
            <w:r>
              <w:rPr>
                <w:rFonts w:ascii="Times New Roman" w:hAnsi="Times New Roman"/>
                <w:sz w:val="24"/>
              </w:rPr>
              <w:t>Taikytina nepakankamo padengimo suma (t. y. neveiksnių pozicijų bendro minimalaus padengimo reikalavimo trūkumas) yra lygi nuliui arba už jį didesnė.</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Bendras neveiksnių pozicijų minimalaus padengimo reikalavimas</w:t>
            </w:r>
          </w:p>
          <w:p w14:paraId="649C7EAB"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punktas.</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Apskaičiuodamos neveiksnių pozicijų bendrą minimalaus padengimo reikalavimą, įstaigos susumuoja minimalaus padengimo reikalavimą, taikomą neužtikrintai neveiksnių pozicijų daliai (0030 eilutė) ir užtikrintai neveiksnių pozicijų daliai (0040 eilutė).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Neužtikrinta neveiksnių pozicijų dalis</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 papunktis ir 2 bei 6 dalys.</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Įstaiga nurodo bendrą minimalaus padengimo reikalavimą, taikomą neužtikrintai neveiksnių pozicijų daliai, t. y. agreguotą skaičiavimų pozicijos lygmeniu sumą.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Kiekvienoje skiltyje nurodoma suma lygi C 35.02 formos 0020 eilutėje ir C 35.03 formos 0020 eilutėje (kai taikoma) atitinkamose skiltyse nurodytų sumų sumai.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Užtikrinta neveiksnių pozicijų dalis</w:t>
            </w:r>
          </w:p>
          <w:p w14:paraId="12886933"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ii papunktis ir 3, 4 bei 6 dalys.</w:t>
            </w:r>
          </w:p>
          <w:p w14:paraId="16387A62" w14:textId="77777777" w:rsidR="00E7212E" w:rsidRPr="002A677E" w:rsidRDefault="00E7212E" w:rsidP="00BF7D57">
            <w:pPr>
              <w:rPr>
                <w:rFonts w:ascii="Times New Roman" w:hAnsi="Times New Roman"/>
                <w:sz w:val="24"/>
              </w:rPr>
            </w:pPr>
            <w:r>
              <w:rPr>
                <w:rFonts w:ascii="Times New Roman" w:hAnsi="Times New Roman"/>
                <w:sz w:val="24"/>
              </w:rPr>
              <w:t>Įstaigos nurodo bendrą minimalaus padengimo reikalavimą, taikomą užtikrintai neveiksnių pozicijų daliai, t. y. agreguotą skaičiavimų pozicijos lygmeniu sumą.</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Kiekvienoje skiltyje nurodoma suma lygi C 35.02 formos 0030–0045 eilutėje ir C 35.03 formos 0030–0040 eilutėje (kai taikoma) atitinkamose skiltyse nurodytų sumų sumai.</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Pozicijos vertė</w:t>
            </w:r>
          </w:p>
          <w:p w14:paraId="3D274535" w14:textId="77777777" w:rsidR="00E7212E" w:rsidRPr="002A677E" w:rsidRDefault="00E7212E" w:rsidP="00BF7D57">
            <w:pPr>
              <w:rPr>
                <w:rFonts w:ascii="Times New Roman" w:hAnsi="Times New Roman"/>
                <w:sz w:val="24"/>
              </w:rPr>
            </w:pPr>
            <w:r>
              <w:rPr>
                <w:rFonts w:ascii="Times New Roman" w:hAnsi="Times New Roman"/>
                <w:sz w:val="24"/>
              </w:rPr>
              <w:t>Reglamento (ES) Nr. 575/2013 47a straipsnio 2 dalis.</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Įstaigos nurodo neveiksnių pozicijų, įskaitant neužtikrintas ir užtikrintas pozicijas, bendrą pozicijų vertę. Ji atitinka 0060 ir 0070 eilučių verčių sumą.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Neužtikrinta neveiksnių pozicijų dalis</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Reglamento (ES) Nr. 575/2013 47a straipsnio 2 dalis ir 47c straipsnio 1 dalis.</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Užtikrinta neveiksnių pozicijų dalis</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Reglamento (ES) Nr. 575/2013 47a straipsnio 2 dalis ir 47c straipsnio 1 dalis.</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 atidėjinių ir koregavimų ar atskaitymų suma (apribota)</w:t>
            </w:r>
          </w:p>
          <w:p w14:paraId="1063BD06" w14:textId="77777777" w:rsidR="00E7212E" w:rsidRPr="002A677E" w:rsidRDefault="00E7212E" w:rsidP="00BF7D57">
            <w:pPr>
              <w:rPr>
                <w:rFonts w:ascii="Times New Roman" w:hAnsi="Times New Roman"/>
                <w:sz w:val="24"/>
              </w:rPr>
            </w:pPr>
            <w:r>
              <w:rPr>
                <w:rFonts w:ascii="Times New Roman" w:hAnsi="Times New Roman"/>
                <w:sz w:val="24"/>
              </w:rPr>
              <w:t>Įstaigos nurodo 0100–0150 eilutėse išvardytų straipsnių sumos apribotą sumą pagal Reglamento (ES) Nr. 575/2013 47c straipsnio 1 dalies b punktą. Didžiausia apribotų atidėjinių ir koregavimų ar atskaitymų riba yra minimalaus padengimo reikalavimo suma pozicijos lygmeniu.</w:t>
            </w:r>
          </w:p>
          <w:p w14:paraId="5D5758AF" w14:textId="77777777" w:rsidR="00E7212E" w:rsidRPr="002A677E" w:rsidRDefault="00E7212E" w:rsidP="00BF7D57">
            <w:pPr>
              <w:rPr>
                <w:rFonts w:ascii="Times New Roman" w:hAnsi="Times New Roman"/>
                <w:sz w:val="24"/>
              </w:rPr>
            </w:pPr>
            <w:r>
              <w:rPr>
                <w:rFonts w:ascii="Times New Roman" w:hAnsi="Times New Roman"/>
                <w:sz w:val="24"/>
              </w:rPr>
              <w:t>Apribota suma kiekvienai pozicijai apskaičiuojama atskirai kaip mažesnioji iš šių sumų: šiai pozicijai taikomo minimalaus padengimo reikalavimo ir tos pačios pozicijos bendrų atidėjinių ir koregavimų arba atskaitymų.</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Bendra atidėjinių ir koregavimų ar atskaitymų suma (neapribota)</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Įstaigos nurodo 0100–0150 eilutėse išvardytų straipsnių neapribotos sumos sumą pagal Reglamento (ES) Nr. 575/2013 47c straipsnio 1 dalies b punktą. Atidėjiniai ir koregavimai ar atskaitymai (neapriboti) neturi apsiriboti minimalaus padengimo reikalavimo suma pozicijos lygmeniu.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Specifinės kredito rizikos koregavimai</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Reglamento (ES) Nr. 575/2013 47c straipsnio 1 dalies b punkto i papunktis.</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Papildomi vertės koregavimai</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Reglamento (ES) Nr. 575/2013 47c straipsnio 1 dalies b punkto ii papunktis.</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Kiti nuosavų lėšų sumažinimai</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Reglamento (ES) Nr. 575/2013 47c straipsnio 1 dalies b punkto iii papunktis.</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IRB trūkumas</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Reglamento (ES) Nr. 575/2013 47c straipsnio 1 dalies b punkto iv papunktis.</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Pirkimo kainos ir skolininko skolos skirtumas</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Reglamento (ES) Nr. 575/2013 47c straipsnio 1 dalies b punkto v papunktis.</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Įstaigos nurašytos sumos nuo tada, kai pozicija buvo priskirta neveiksnių pozicijų klasei</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Reglamento (ES) Nr. 575/2013 47c straipsnio 1 dalies b punkto vi papunktis.</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lastRenderedPageBreak/>
        <w:t>C 35.02. NEVEIKSNIŲ POZICIJŲ, IŠSKYRUS RESTRUKTŪRIZUOTAS POZICIJAS, KURIOMS TAIKOMA REGLAMENTO (ES) Nr. 575/2013 47C STRAIPSNIO 6 DALIS, MINIMALAUS PADENGIMO REIKALAVIMAI IR POZICIJŲ VERTĖS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Nurodymai dėl konkrečių pozicijų</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Nuo pozicijų priskyrimo neveiksnių pozicijų klasei praėjęs laikas</w:t>
            </w:r>
          </w:p>
          <w:p w14:paraId="27559F86" w14:textId="77777777" w:rsidR="00E7212E" w:rsidRPr="002A677E" w:rsidRDefault="00E7212E" w:rsidP="00BF7D57">
            <w:pPr>
              <w:rPr>
                <w:rFonts w:ascii="Times New Roman" w:hAnsi="Times New Roman"/>
                <w:sz w:val="24"/>
              </w:rPr>
            </w:pPr>
            <w:r>
              <w:rPr>
                <w:rFonts w:ascii="Times New Roman" w:hAnsi="Times New Roman"/>
                <w:sz w:val="24"/>
              </w:rPr>
              <w:t>Nuo pozicijų priskyrimo neveiksnių pozicijų klasei praėjęs laikas – laikas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14:paraId="1AD59E7D" w14:textId="77777777" w:rsidR="00E7212E" w:rsidRPr="002A677E" w:rsidRDefault="00E7212E" w:rsidP="00BF7D57">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 suma</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Įstaigos nurodo visų 0010–0100 skilčių sumą.</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Bendras minimalaus padengimo reikalavimas</w:t>
            </w:r>
          </w:p>
          <w:p w14:paraId="182F35CE"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punktas.</w:t>
            </w:r>
          </w:p>
          <w:p w14:paraId="662FCE5D" w14:textId="79E2CFC8" w:rsidR="00E7212E" w:rsidRPr="002A677E" w:rsidRDefault="00E7212E" w:rsidP="00BF7D57">
            <w:pPr>
              <w:rPr>
                <w:rFonts w:ascii="Times New Roman" w:hAnsi="Times New Roman"/>
                <w:sz w:val="24"/>
              </w:rPr>
            </w:pPr>
            <w:r>
              <w:rPr>
                <w:rFonts w:ascii="Times New Roman" w:hAnsi="Times New Roman"/>
                <w:sz w:val="24"/>
              </w:rPr>
              <w:t>Apskaičiuodamos neveiksnių pozicijų, išskyrus restruktūrizuotas pozicijas, kurioms taikoma Reglamento (ES) Nr. 575/2013 47c straipsnio 6 dalis, bendrą minimalaus padengimo reikalavimą, įstaigos susumuoja minimalaus padengimo reikalavimą, taikomą neužtikrintai neveiksnių pozicijų daliai (0020 eilutė), ir minimalaus padengimo reikalavimą, taikomą užtikrintai neveiksnių pozicijų daliai (0030–0045 eilutės).</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Neužtikrinta neveiksnių pozicijų dalis</w:t>
            </w:r>
          </w:p>
          <w:p w14:paraId="27ED7CA9"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 papunktis ir 2 dalis.</w:t>
            </w:r>
          </w:p>
          <w:p w14:paraId="5CD4163E" w14:textId="77777777" w:rsidR="00E7212E" w:rsidRPr="002A677E" w:rsidRDefault="00E7212E" w:rsidP="00BF7D57">
            <w:pPr>
              <w:rPr>
                <w:rFonts w:ascii="Times New Roman" w:hAnsi="Times New Roman"/>
                <w:sz w:val="24"/>
              </w:rPr>
            </w:pPr>
            <w:r>
              <w:rPr>
                <w:rFonts w:ascii="Times New Roman" w:hAnsi="Times New Roman"/>
                <w:sz w:val="24"/>
              </w:rPr>
              <w:t>Minimalaus padengimo reikalavimas apskaičiuojamas padauginant 0070 eilutėje nurodytas agreguotas pozicijų vertes iš atitinkamo kiekvienos skilties koeficiento.</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Neveiksnių pozicijų, užtikrintų nekilnojamuoju turtu arba būsto paskola, kuriai garantiją teikia reikalavimus atitinkantis užtikrinimo teikėjas, dalis </w:t>
            </w:r>
          </w:p>
          <w:p w14:paraId="1AB54B5D"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ii papunktis ir 3 dalies a, b, c, d, f, h ir i punktai.</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Minimalaus padengimo reikalavimas apskaičiuojamas padauginant 0080 eilutėje nurodytas agreguotas pozicijų vertes iš atitinkamo kiekvienos skilties koeficiento.</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5857E4F4"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ii papunktis ir 3 dalies a, b, c, e ir g punktai.</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Minimalaus padengimo reikalavimas apskaičiuojamas padauginant 0090 eilutėje nurodytas agreguotas pozicijų vertes iš atitinkamo kiekvienos skilties koeficiento.</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Neveiksnių pozicijų, kurioms garantiją arba priešpriešinę garantiją teikia reikalavimus atitinkantis užtikrinimo teikėjas, dalis</w:t>
            </w:r>
          </w:p>
          <w:p w14:paraId="4C97CF34" w14:textId="77777777" w:rsidR="00920721" w:rsidRDefault="00EB1058" w:rsidP="00BF7D57">
            <w:pPr>
              <w:jc w:val="left"/>
              <w:rPr>
                <w:rFonts w:ascii="Times New Roman" w:hAnsi="Times New Roman"/>
                <w:sz w:val="24"/>
              </w:rPr>
            </w:pPr>
            <w:r>
              <w:rPr>
                <w:rFonts w:ascii="Times New Roman" w:hAnsi="Times New Roman"/>
                <w:sz w:val="24"/>
              </w:rPr>
              <w:t>Reglamento (ES) Nr. 575/2013 47c straipsnio 4 dalies b punktas.</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Minimalaus padengimo reikalavimas apskaičiuojamas padauginant 0110 ir 0120 eilutėse nurodytas agreguotas pozicijų vertes iš atitinkamo kiekvienos skilties koeficiento.</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Pozicijos vertė</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Reglamento (ES) Nr. 575/2013 47a straipsnio 2 dalis.</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Apskaičiuodamos 0060 eilutę, įstaigos susumuoja nurodytas neužtikrintos neveiksnių pozicijų dalies pozicijų vertes (0070 eilutė), neveiksnių pozicijų, užtikrintų nekilnojamuoju turtu arba būsto paskola, kuriai garantiją teikia reikalavimus atitinkantis užtikrinimo teikėjas, dalį (0080 eilutė), neveiksnių pozicijų, užtikrintų kitu tiesioginiu arba netiesioginiu kredito užtikrinimu, dalį (0090 eilutė) ir neveiksnių pozicijų, kurioms garantiją arba priešpriešinę garantiją teikia reikalavimus atitinkantis užtikrinimo teikėjas, dalį (0110 ir 0120 eilutė).</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Neužtikrinta neveiksnių pozicijų dalis</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Reglamento (ES) Nr. 575/2013 47a straipsnio 2 dalis ir 47c straipsnio 1 bei 2 dalys.</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Įstaigos nurodo neužtikrintos neveiksnių pozicijų dalies bendrą pozicijos vertę, išskaidytą pagal laiką, praėjusį nuo pozicijų priskyrimo neveiksnių pozicijų klasei.</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353C8B9D" w14:textId="77777777" w:rsidR="00E7212E" w:rsidRPr="002A677E" w:rsidRDefault="00E7212E" w:rsidP="00BF7D57">
            <w:pPr>
              <w:rPr>
                <w:rFonts w:ascii="Times New Roman" w:hAnsi="Times New Roman"/>
                <w:sz w:val="24"/>
              </w:rPr>
            </w:pPr>
            <w:r>
              <w:rPr>
                <w:rFonts w:ascii="Times New Roman" w:hAnsi="Times New Roman"/>
                <w:sz w:val="24"/>
              </w:rPr>
              <w:t>Reglamento (ES) Nr. 575/2013 47a straipsnio 2 dalis ir 47c straipsnio 1 dalis bei 3 dalies a, b, c, d, f, h ir i punktai.</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neveiksnių pozicijų dalių, užtikrintų nekilnojamuoju turtu pagal Reglamento (ES) Nr. 575/2013 trečios dalies II antraštinę dalį arba kurios yra būsto paskola, užtikrinta reikalavimus atitinkančio užtikrinimo teikėjo, kaip nurodyta to reglamento 201 straipsnyje, bendrą pozicijos vertę.</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Reglamento (ES) Nr. 575/2013 47a straipsnio 2 dalis ir 47c straipsnio 1 dalis bei 3 dalies a, b, c, e ir g punktai.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Įstaigos nurodo neveiksnių pozicijų, užtikrintų kitu tiesioginiu arba netiesioginiu kredito užtikrinimu, dalių bendrą pozicijos vertę pagal Reglamento (ES) Nr. 575/2013 trečios dalies II antraštinę dalį.</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Neveiksnių pozicijų, kurioms garantiją arba priešpriešinę garantiją teikia reikalavimus atitinkantis užtikrinimo teikėjas (1 koeficientas), dalis</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Reglamento (ES) Nr. 575/2013 47c straipsnio 4 dalies b punktas (1 koeficientas).</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Neveiksnių pozicijų, kurioms garantiją arba priešpriešinę garantiją teikia reikalavimus atitinkantis užtikrinimo teikėjas (0 koeficientas), dalis</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Reglamento (ES) Nr. 575/2013 47c straipsnio 4 dalies a ir b punktai (0 koeficientas). Pozicijos, kurių atžvilgiu reikalavimus atitinkantis užtikrinimo teikėjas sutiko visiškai įvykdyti visus įsipareigojančiojo asmens mokėjimo įsipareigojimus kredito įstaigai pagal pradinį sutartyje numatytą mokėjimų grafiką, turėtų būti nurodytos 0120 eilutėje (visiems laiko intervalams).</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NEVEIKSNIŲ RESTRUKTŪRIZUOTŲ POZICIJŲ, KURIOMS TAIKOMA REGLAMENTO (ES) Nr. 575/2013 47C STRAIPSNIO 6 DALIS, MINIMALAUS PADENGIMO REIKALAVIMAI IR POZICIJŲ VERTĖS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Nurodymai dėl konkrečių pozicijų</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Nuo pozicijų priskyrimo neveiksnių pozicijų klasei praėjęs laikas</w:t>
            </w:r>
          </w:p>
          <w:p w14:paraId="6028F7B7" w14:textId="77777777" w:rsidR="00E7212E" w:rsidRPr="002A677E" w:rsidRDefault="00E7212E" w:rsidP="00BF7D57">
            <w:pPr>
              <w:rPr>
                <w:rFonts w:ascii="Times New Roman" w:hAnsi="Times New Roman"/>
                <w:sz w:val="24"/>
              </w:rPr>
            </w:pPr>
            <w:r>
              <w:rPr>
                <w:rFonts w:ascii="Times New Roman" w:hAnsi="Times New Roman"/>
                <w:sz w:val="24"/>
              </w:rPr>
              <w:t>Nuo pozicijų priskyrimo neveiksnių pozicijų klasei praėjęs laikas – laikas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14:paraId="1EB41D92" w14:textId="77777777" w:rsidR="00E7212E" w:rsidRPr="002A677E" w:rsidRDefault="00E7212E" w:rsidP="00BF7D57">
            <w:pPr>
              <w:rPr>
                <w:rFonts w:ascii="Times New Roman" w:hAnsi="Times New Roman"/>
                <w:sz w:val="24"/>
              </w:rPr>
            </w:pPr>
            <w:r>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 suma</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visų 0010–0100 skilčių sumą.</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Nurodymai</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Bendras minimalaus padengimo reikalavimas</w:t>
            </w:r>
          </w:p>
          <w:p w14:paraId="1C8DD96C"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punktas ir 6 dalis.</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Apskaičiuodamos neveiksnių restruktūrizuotų pozicijų, kurioms taikoma Reglamento (ES) Nr. 575/2013 47c straipsnio 6 dalis, bendrą minimalaus padengimo reikalavimą, įstaigos susumuoja minimalaus padengimo reikalavimus, taikomus neužtikrintai restruktūrizuotų neveiksnių pozicijų daliai (0020 eilutė), restruktūrizuotų neveiksnių pozicijų, užtikrintų nekilnojamuoju turtu arba būsto paskola, kuriai garantiją teikia reikalavimus atitinkantis </w:t>
            </w:r>
            <w:r>
              <w:rPr>
                <w:rFonts w:ascii="Times New Roman" w:hAnsi="Times New Roman"/>
                <w:sz w:val="24"/>
              </w:rPr>
              <w:lastRenderedPageBreak/>
              <w:t>užtikrinimo teikėjas, daliai (0030 eilutė) ir restruktūrizuotų neveiksnių pozicijų, užtikrintų kitu tiesioginiu arba netiesioginiu kredito užtikrinimu, daliai (0040 eilutė).</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Neužtikrinta neveiksnių pozicijų dalis</w:t>
            </w:r>
          </w:p>
          <w:p w14:paraId="01C888D8"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 papunktis ir 2 bei 6 dalys.</w:t>
            </w:r>
          </w:p>
          <w:p w14:paraId="0536875C" w14:textId="77777777" w:rsidR="00E7212E" w:rsidRPr="002A677E" w:rsidRDefault="00E7212E" w:rsidP="00BF7D57">
            <w:pPr>
              <w:rPr>
                <w:rFonts w:ascii="Times New Roman" w:hAnsi="Times New Roman"/>
                <w:sz w:val="24"/>
              </w:rPr>
            </w:pPr>
            <w:r>
              <w:rPr>
                <w:rFonts w:ascii="Times New Roman" w:hAnsi="Times New Roman"/>
                <w:sz w:val="24"/>
              </w:rPr>
              <w:t>Įstaigos nurodo bendrą minimalaus padengimo reikalavimą, taikomą neveiksnių restruktūrizuotų pozicijų, kurioms taikoma Reglamento (ES) Nr. 575/2013 47c straipsnio 6 dalis, neužtikrintai daliai, t. y. agreguotą skaičiavimų pozicijos lygmeniu sumą.</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073D5D9E"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ii papunktis, 3 dalies a, b, c, d, f, h ir i punktai ir 6 dalis.</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Įstaigos nurodo bendrą minimalaus padengimo reikalavimą, taikomą neveiksnių restruktūrizuotų pozicijų, užtikrintų nekilnojamuoju turtu pagal Reglamento (ES) Nr. 575/2013 trečios dalies II antraštinę dalį, arba kurios yra būsto paskolos, užtikrintos reikalavimus atitinkančio užtikrinimo teikėjo, kaip nurodyta to reglamento 201 straipsnyje, kurioms taikoma to reglamento 47c straipsnio 6 dalis, dalims, t. y. skaičiavimų pozicijos lygmeniu agreguotą sumą.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Neveiksnių pozicijų, užtikrintų tiesioginiu arba netiesioginiu kredito užtikrinimu, dalis</w:t>
            </w:r>
          </w:p>
          <w:p w14:paraId="001BEF19" w14:textId="77777777" w:rsidR="00E7212E" w:rsidRPr="002A677E" w:rsidRDefault="00E7212E" w:rsidP="00BF7D57">
            <w:pPr>
              <w:rPr>
                <w:rFonts w:ascii="Times New Roman" w:hAnsi="Times New Roman"/>
                <w:sz w:val="24"/>
              </w:rPr>
            </w:pPr>
            <w:r>
              <w:rPr>
                <w:rFonts w:ascii="Times New Roman" w:hAnsi="Times New Roman"/>
                <w:sz w:val="24"/>
              </w:rPr>
              <w:t>Reglamento (ES) Nr. 575/2013 47c straipsnio 1 dalies a punkto ii papunktis, 3 dalies a, b, c, e ir g punktai ir 6 dalis.</w:t>
            </w:r>
          </w:p>
          <w:p w14:paraId="4AB04E40" w14:textId="77777777" w:rsidR="00E7212E" w:rsidRPr="002A677E" w:rsidRDefault="00E7212E" w:rsidP="00BF7D57">
            <w:pPr>
              <w:rPr>
                <w:rFonts w:ascii="Times New Roman" w:hAnsi="Times New Roman"/>
                <w:sz w:val="24"/>
              </w:rPr>
            </w:pPr>
            <w:r>
              <w:rPr>
                <w:rFonts w:ascii="Times New Roman" w:hAnsi="Times New Roman"/>
                <w:sz w:val="24"/>
              </w:rPr>
              <w:t>Įstaigos nurodo bendrą minimalaus padengimo reikalavimą, taikomą neveiksnių restruktūrizuotų pozicijų, užtikrintų kitu tiesioginiu arba netiesioginiu kredito užtikrinimu, kurioms taikoma Reglamento (ES) Nr. 575/2013 47c straipsnio 6 dalis, dalims, t. y. skaičiavimų pozicijos lygmeniu agreguotą sumą.</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Pozicijos vertė</w:t>
            </w:r>
          </w:p>
          <w:p w14:paraId="1D4AA342" w14:textId="77777777" w:rsidR="00E7212E" w:rsidRPr="002A677E" w:rsidRDefault="00E7212E" w:rsidP="00BF7D57">
            <w:pPr>
              <w:rPr>
                <w:rFonts w:ascii="Times New Roman" w:hAnsi="Times New Roman"/>
                <w:sz w:val="24"/>
              </w:rPr>
            </w:pPr>
            <w:r>
              <w:rPr>
                <w:rFonts w:ascii="Times New Roman" w:hAnsi="Times New Roman"/>
                <w:sz w:val="24"/>
              </w:rPr>
              <w:t>Reglamento (ES) Nr. 575/2013 47a straipsnio 2 dalis ir 47c straipsnio 6 dalis.</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Apskaičiuodamos pozicijos vertę, įstaigos susumuoja neužtikrintos neveiksnių pozicijų dalies pozicijų vertes (0060 eilutė), neveiksnių pozicijų, užtikrintų nekilnojamuoju turtu arba būsto paskola, kuriai garantiją teikia reikalavimus atitinkantis užtikrinimo teikėjas, dalį (0070 eilutė) ir, jei taikytina, neveiksnių pozicijų, užtikrintų kitu tiesioginiu arba netiesioginiu kredito užtikrinimu, dalį (0120 eilutė).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Neužtikrinta neveiksnių pozicijų dalis</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Reglamento (ES) Nr. 575/2013 47a straipsnio 2 dalis ir 47c straipsnio 1, 2 bei 6 dalys.</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neužtikrintos dalies bendrą pozicijos vertę, kai pirmoji restruktūrizavimo priemonė buvo suteikta tarp pirmos ir paskutinės antrųjų metų po pozicijos priskyrimo neveiksnių pozicijų klasei dienos (&gt;1 metai; &lt;= 2 metai).</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Neveiksnių pozicijų, užtikrintų nekilnojamuoju turtu arba būsto paskola, kuriai garantiją teikia reikalavimus atitinkantis užtikrinimo teikėjas, dalis</w:t>
            </w:r>
          </w:p>
          <w:p w14:paraId="6D8528EC" w14:textId="77777777" w:rsidR="00E7212E" w:rsidRPr="002A677E" w:rsidRDefault="00E7212E" w:rsidP="00BF7D57">
            <w:pPr>
              <w:rPr>
                <w:rFonts w:ascii="Times New Roman" w:hAnsi="Times New Roman"/>
                <w:sz w:val="24"/>
              </w:rPr>
            </w:pPr>
            <w:r>
              <w:rPr>
                <w:rFonts w:ascii="Times New Roman" w:hAnsi="Times New Roman"/>
                <w:sz w:val="24"/>
              </w:rPr>
              <w:lastRenderedPageBreak/>
              <w:t>Reglamento (ES) Nr. 575/2013 47a straipsnio 2 dalis ir 47c straipsnio 1 dalis, 3 dalies a, b, c, d, f, h ir i punktai ir 6 dalis.</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dalių, kurioms taikoma Reglamento (ES) Nr. 575/2013 47c straipsnio 6 dalis, užtikrintų nekilnojamuoju turtu to reglamento trečios dalies II antraštinę dalį, arba kurios yra būsto paskola, užtikrinta reikalavimus atitinkančio užtikrinimo teikėjo, kaip nurodyta to reglamento 201 straipsnyje, bendrą pozicijos vertę.</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ir &lt;= 3 metai nuo priskyrimo neveiksnių pozicijų klasei</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trečiųjų metų po pozicijos priskyrimo neveiksnių pozicijų klasei dienos.</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ir &lt;= 4 metai nuo priskyrimo neveiksnių pozicijų klasei</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ketvirtųjų metų po pozicijos priskyrimo neveiksnių pozicijų klasei dienos.</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ir &lt;= 5 metai nuo priskyrimo neveiksnių pozicijų klasei</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penktųjų metų po pozicijos priskyrimo neveiksnių pozicijų klasei dienos.</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ir &lt;= 6 metai nuo priskyrimo neveiksnių pozicijų klasei</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nekilnojamuoju turtu arba būsto paskola, užtikrinta reikalavimus atitinkančio užtikrinimo teikėjo, pozicijos vertę, kai pirmoji restruktūrizavimo priemonė buvo suteikta tarp pirmos ir paskutinės šeštųjų metų po pozicijos priskyrimo neveiksnių pozicijų klasei dienos.</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Neveiksnių pozicijų, užtikrintų tiesioginiu arba netiesioginiu kredito užtikrinimu, dalis</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Reglamento (ES) Nr. 575/2013 47c straipsnio 1 dalis, 3 dalies a, b, c, e ir g punktai ir 6 dalis.</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dalių bendrą pozicijos vertę pagal Reglamento (ES) Nr. 575/2013 trečios dalies II antraštinę dalį.</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ir &lt;= 3 metai nuo priskyrimo neveiksnių pozicijų klasei</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lastRenderedPageBreak/>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trečiųjų metų po pozicijos priskyrimo neveiksnių pozicijų klasei dienos.</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ir &lt;= 4 metai nuo priskyrimo neveiksnių pozicijų klasei</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ketvirtųjų metų po pozicijos priskyrimo neveiksnių pozicijų klasei dienos.</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ir &lt;= 5 metai nuo priskyrimo neveiksnių pozicijų klasei</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penktųjų metų po pozicijos priskyrimo neveiksnių pozicijų klasei dienos.</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ir &lt;= 6 metai nuo priskyrimo neveiksnių pozicijų klasei</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Įstaigos nurodo restruktūrizuotų neveiksnių pozicijų, kurioms taikoma Reglamento (ES) Nr. 575/2013 47c straipsnio 6 dalis, užtikrintų kitu tiesioginiu arba netiesioginiu kredito užtikrinimu, pozicijos vertę, kai pirmoji restruktūrizavimo priemonė buvo suteikta tarp pirmos ir paskutinės šeštųjų metų po pozicijos priskyrimo neveiksnių pozicijų klasei dienos.“</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8D805" w14:textId="77777777" w:rsidR="00214DD1" w:rsidRDefault="00214DD1" w:rsidP="00E7212E">
      <w:pPr>
        <w:spacing w:before="0" w:after="0"/>
      </w:pPr>
      <w:r>
        <w:separator/>
      </w:r>
    </w:p>
  </w:endnote>
  <w:endnote w:type="continuationSeparator" w:id="0">
    <w:p w14:paraId="4DEF7334" w14:textId="77777777" w:rsidR="00214DD1" w:rsidRDefault="00214DD1"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78D56" w14:textId="77777777" w:rsidR="00214DD1" w:rsidRDefault="00214DD1" w:rsidP="00E7212E">
      <w:pPr>
        <w:spacing w:before="0" w:after="0"/>
      </w:pPr>
      <w:r>
        <w:separator/>
      </w:r>
    </w:p>
  </w:footnote>
  <w:footnote w:type="continuationSeparator" w:id="0">
    <w:p w14:paraId="20D83A4A" w14:textId="77777777" w:rsidR="00214DD1" w:rsidRDefault="00214DD1"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1020DC"/>
    <w:rsid w:val="00214DD1"/>
    <w:rsid w:val="002567E9"/>
    <w:rsid w:val="003952A8"/>
    <w:rsid w:val="00483B10"/>
    <w:rsid w:val="004D5F96"/>
    <w:rsid w:val="005334A8"/>
    <w:rsid w:val="0054523A"/>
    <w:rsid w:val="006124F8"/>
    <w:rsid w:val="00613074"/>
    <w:rsid w:val="00631623"/>
    <w:rsid w:val="00644DC5"/>
    <w:rsid w:val="00697C35"/>
    <w:rsid w:val="006F49DC"/>
    <w:rsid w:val="00743A25"/>
    <w:rsid w:val="00762D95"/>
    <w:rsid w:val="00786988"/>
    <w:rsid w:val="008A07E7"/>
    <w:rsid w:val="008F5111"/>
    <w:rsid w:val="00920721"/>
    <w:rsid w:val="009A1028"/>
    <w:rsid w:val="00A13F70"/>
    <w:rsid w:val="00A6002C"/>
    <w:rsid w:val="00AD1E4E"/>
    <w:rsid w:val="00AE0E53"/>
    <w:rsid w:val="00B051AC"/>
    <w:rsid w:val="00B71F25"/>
    <w:rsid w:val="00C60464"/>
    <w:rsid w:val="00C6168C"/>
    <w:rsid w:val="00CC6DF1"/>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lt-LT"/>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2.xml><?xml version="1.0" encoding="utf-8"?>
<ds:datastoreItem xmlns:ds="http://schemas.openxmlformats.org/officeDocument/2006/customXml" ds:itemID="{5BFEAF23-7EA0-4C39-8D6D-B3C72092F7E5}"/>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3733</Words>
  <Characters>20758</Characters>
  <Application>Microsoft Office Word</Application>
  <DocSecurity>0</DocSecurity>
  <Lines>441</Lines>
  <Paragraphs>260</Paragraphs>
  <ScaleCrop>false</ScaleCrop>
  <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2025-01-23T13:09:52Z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ea6e717f-3412-4971-add3-02ce19f20257</vt:lpwstr>
  </property>
  <property fmtid="{D5CDD505-2E9C-101B-9397-08002B2CF9AE}" pid="9" name="MSIP_Label_6bd9ddd1-4d20-43f6-abfa-fc3c07406f94_ContentBits">
    <vt:lpwstr>0</vt:lpwstr>
  </property>
</Properties>
</file>